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Лекция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«Как читать архитектуру» Историзм и эклектика» 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6 февраля в 16:00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доступна по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https://us02web.zoom.us/j/89545255873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895 4525 5873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+7(953)357-89-05 Александра Михайловна.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954525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